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1C" w:rsidRPr="00AF291C" w:rsidRDefault="00AF291C" w:rsidP="00AF291C">
      <w:pPr>
        <w:rPr>
          <w:b/>
          <w:bCs/>
          <w:lang w:val="nb-NO"/>
        </w:rPr>
      </w:pPr>
      <w:r w:rsidRPr="00AF291C">
        <w:rPr>
          <w:b/>
          <w:bCs/>
          <w:lang w:val="nb-NO"/>
        </w:rPr>
        <w:t>Pris og betaling</w:t>
      </w:r>
    </w:p>
    <w:p w:rsidR="00AF291C" w:rsidRPr="00AF291C" w:rsidRDefault="00AF291C" w:rsidP="00AF291C">
      <w:pPr>
        <w:rPr>
          <w:lang w:val="nb-NO"/>
        </w:rPr>
      </w:pPr>
      <w:r w:rsidRPr="00AF291C">
        <w:rPr>
          <w:lang w:val="nb-NO"/>
        </w:rPr>
        <w:t> </w:t>
      </w:r>
    </w:p>
    <w:tbl>
      <w:tblPr>
        <w:tblW w:w="12693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1701"/>
        <w:gridCol w:w="1560"/>
        <w:gridCol w:w="3903"/>
      </w:tblGrid>
      <w:tr w:rsidR="00AF291C" w:rsidRPr="00AF291C" w:rsidTr="00AF291C">
        <w:trPr>
          <w:tblHeader/>
        </w:trPr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b/>
                <w:bCs/>
                <w:lang w:val="nb-NO"/>
              </w:rPr>
            </w:pPr>
            <w:r w:rsidRPr="00AF291C">
              <w:rPr>
                <w:b/>
                <w:bCs/>
                <w:lang w:val="nb-NO"/>
              </w:rPr>
              <w:t>Pris pr md. (11md. pr år)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b/>
                <w:bCs/>
                <w:lang w:val="nb-NO"/>
              </w:rPr>
            </w:pPr>
            <w:r w:rsidRPr="00AF291C">
              <w:rPr>
                <w:b/>
                <w:bCs/>
                <w:lang w:val="nb-NO"/>
              </w:rPr>
              <w:t>5 d/veke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b/>
                <w:bCs/>
                <w:lang w:val="nb-NO"/>
              </w:rPr>
            </w:pPr>
            <w:r w:rsidRPr="00AF291C">
              <w:rPr>
                <w:b/>
                <w:bCs/>
                <w:lang w:val="nb-NO"/>
              </w:rPr>
              <w:t>4 d/veke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b/>
                <w:bCs/>
                <w:lang w:val="nb-NO"/>
              </w:rPr>
            </w:pPr>
            <w:r w:rsidRPr="00AF291C">
              <w:rPr>
                <w:b/>
                <w:bCs/>
                <w:lang w:val="nb-NO"/>
              </w:rPr>
              <w:t>3 d/veke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b/>
                <w:bCs/>
                <w:lang w:val="nb-NO"/>
              </w:rPr>
            </w:pPr>
            <w:r w:rsidRPr="00AF291C">
              <w:rPr>
                <w:b/>
                <w:bCs/>
                <w:lang w:val="nb-NO"/>
              </w:rPr>
              <w:t>2 d/ veke</w:t>
            </w:r>
          </w:p>
        </w:tc>
      </w:tr>
      <w:tr w:rsidR="00AF291C" w:rsidRPr="00AF291C" w:rsidTr="00AF291C"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proofErr w:type="spellStart"/>
            <w:r w:rsidRPr="00AF291C">
              <w:rPr>
                <w:lang w:val="nb-NO"/>
              </w:rPr>
              <w:t>Elevar</w:t>
            </w:r>
            <w:proofErr w:type="spellEnd"/>
            <w:r w:rsidRPr="00AF291C">
              <w:rPr>
                <w:lang w:val="nb-NO"/>
              </w:rPr>
              <w:t xml:space="preserve"> 1. trinn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1330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660 kr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gratis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gratis</w:t>
            </w:r>
          </w:p>
        </w:tc>
      </w:tr>
      <w:tr w:rsidR="00AF291C" w:rsidRPr="00AF291C" w:rsidTr="00AF291C"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proofErr w:type="spellStart"/>
            <w:r w:rsidRPr="00AF291C">
              <w:rPr>
                <w:lang w:val="nb-NO"/>
              </w:rPr>
              <w:t>Elevar</w:t>
            </w:r>
            <w:proofErr w:type="spellEnd"/>
            <w:r w:rsidRPr="00AF291C">
              <w:rPr>
                <w:lang w:val="nb-NO"/>
              </w:rPr>
              <w:t xml:space="preserve"> 2. trinn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1330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660 kr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gratis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gratis</w:t>
            </w:r>
          </w:p>
        </w:tc>
      </w:tr>
      <w:tr w:rsidR="00AF291C" w:rsidRPr="00AF291C" w:rsidTr="00AF291C"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proofErr w:type="spellStart"/>
            <w:r w:rsidRPr="00AF291C">
              <w:rPr>
                <w:lang w:val="nb-NO"/>
              </w:rPr>
              <w:t>Elevar</w:t>
            </w:r>
            <w:proofErr w:type="spellEnd"/>
            <w:r w:rsidRPr="00AF291C">
              <w:rPr>
                <w:lang w:val="nb-NO"/>
              </w:rPr>
              <w:t xml:space="preserve"> 3.- 4. trinn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3340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2660 kr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2000 kr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1330 kr</w:t>
            </w:r>
          </w:p>
        </w:tc>
      </w:tr>
      <w:tr w:rsidR="00AF291C" w:rsidRPr="00AF291C" w:rsidTr="00AF291C"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proofErr w:type="spellStart"/>
            <w:r w:rsidRPr="00AF291C">
              <w:rPr>
                <w:lang w:val="nb-NO"/>
              </w:rPr>
              <w:t>Matpengar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230 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190 kr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140 kr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EDEEF2"/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100 kr</w:t>
            </w:r>
          </w:p>
        </w:tc>
      </w:tr>
      <w:tr w:rsidR="00AF291C" w:rsidRPr="00AF291C" w:rsidTr="00AF291C"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  <w:r w:rsidRPr="00AF291C">
              <w:rPr>
                <w:lang w:val="nb-NO"/>
              </w:rPr>
              <w:t>Pris pr ekstra dag 295 kr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DDDDD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91C" w:rsidRPr="00AF291C" w:rsidRDefault="00AF291C" w:rsidP="00AF291C">
            <w:pPr>
              <w:rPr>
                <w:lang w:val="nb-NO"/>
              </w:rPr>
            </w:pPr>
          </w:p>
        </w:tc>
      </w:tr>
    </w:tbl>
    <w:p w:rsidR="00AF291C" w:rsidRPr="00AF291C" w:rsidRDefault="00AF291C" w:rsidP="00AF291C">
      <w:pPr>
        <w:rPr>
          <w:lang w:val="nb-NO"/>
        </w:rPr>
      </w:pPr>
      <w:r w:rsidRPr="00AF291C">
        <w:rPr>
          <w:lang w:val="nb-NO"/>
        </w:rPr>
        <w:t> </w:t>
      </w:r>
    </w:p>
    <w:p w:rsidR="00AF291C" w:rsidRPr="00AF291C" w:rsidRDefault="00AF291C" w:rsidP="00AF291C">
      <w:r w:rsidRPr="00AF291C">
        <w:t>Ein betaler for 11 månader per år. Ein betaler både for opphald og mat.</w:t>
      </w:r>
    </w:p>
    <w:p w:rsidR="00AF291C" w:rsidRPr="00AF291C" w:rsidRDefault="00AF291C" w:rsidP="00AF291C">
      <w:r w:rsidRPr="00AF291C">
        <w:rPr>
          <w:b/>
          <w:bCs/>
        </w:rPr>
        <w:t>Informasjon til føresette om gratis kjernetid i SFO </w:t>
      </w:r>
    </w:p>
    <w:p w:rsidR="00AF291C" w:rsidRPr="00AF291C" w:rsidRDefault="00AF291C" w:rsidP="00AF291C">
      <w:r w:rsidRPr="00AF291C">
        <w:t xml:space="preserve">Elevane på 1. og 2. trinn får gratis kjernetid i SFO.  I Time kommune er gratis kjernetid definert som 3 </w:t>
      </w:r>
      <w:proofErr w:type="spellStart"/>
      <w:r w:rsidRPr="00AF291C">
        <w:t>dagarstilbodet</w:t>
      </w:r>
      <w:proofErr w:type="spellEnd"/>
      <w:r w:rsidRPr="00AF291C">
        <w:t xml:space="preserve">. 2 dagars tilbodet vil og vera gratis for denne gruppa. Om føresette på 1. og 2. trinn ønskjer tilbod om 4 eller 5 dagar, vil prisen på eit 3 </w:t>
      </w:r>
      <w:proofErr w:type="spellStart"/>
      <w:r w:rsidRPr="00AF291C">
        <w:t>dagarstilbod</w:t>
      </w:r>
      <w:proofErr w:type="spellEnd"/>
      <w:r w:rsidRPr="00AF291C">
        <w:t> bli trekt frå prisen på det tilbodet føresette vel.  </w:t>
      </w:r>
    </w:p>
    <w:p w:rsidR="00AF291C" w:rsidRPr="00AF291C" w:rsidRDefault="00AF291C" w:rsidP="00AF291C">
      <w:r w:rsidRPr="00AF291C">
        <w:t>Pris for dei ulike tilboda er oppgitt i tabellen ovanfor.</w:t>
      </w:r>
    </w:p>
    <w:p w:rsidR="00AF291C" w:rsidRPr="00AF291C" w:rsidRDefault="00AF291C" w:rsidP="00AF291C">
      <w:r w:rsidRPr="00AF291C">
        <w:rPr>
          <w:b/>
          <w:bCs/>
        </w:rPr>
        <w:t>Frå august 2024 vil tilbodet om gratis kjernetid og gjelda elevar på 3. trinn.  </w:t>
      </w:r>
      <w:r w:rsidRPr="00AF291C">
        <w:t>Dei </w:t>
      </w:r>
      <w:r w:rsidRPr="00AF291C">
        <w:rPr>
          <w:i/>
          <w:iCs/>
        </w:rPr>
        <w:t>same prisane som no gjeld for 1.-2. trinn, vil då og gjelda dei.  </w:t>
      </w:r>
    </w:p>
    <w:p w:rsidR="00AF291C" w:rsidRPr="00AF291C" w:rsidRDefault="00AF291C" w:rsidP="00AF291C">
      <w:r w:rsidRPr="00AF291C">
        <w:t>Matpengar er rekna utanom pris på tilbodet. Dette må ein betala i tillegg.  </w:t>
      </w:r>
    </w:p>
    <w:p w:rsidR="00AF291C" w:rsidRPr="00AF291C" w:rsidRDefault="00AF291C" w:rsidP="00AF291C">
      <w:r w:rsidRPr="00AF291C">
        <w:t>Dei vekene i skuleåret skulen har stengt og SFO er open, kan ein nytta dagane  ein har plass på SFO. Det er og mogleg å kjøpa opphald ekstra dagar. Denne ordninga gjeld og for ferieveka i slutten av juni og ved skulestart i august.  </w:t>
      </w:r>
    </w:p>
    <w:p w:rsidR="00AF291C" w:rsidRPr="00AF291C" w:rsidRDefault="00AF291C" w:rsidP="00AF291C">
      <w:r w:rsidRPr="00AF291C">
        <w:t>Ein søker om SFO- plass via Visma flyt skule. Det ligg lenke på heimesida til skulen. </w:t>
      </w:r>
    </w:p>
    <w:p w:rsidR="00AF291C" w:rsidRPr="00AF291C" w:rsidRDefault="00AF291C" w:rsidP="00AF291C">
      <w:pPr>
        <w:rPr>
          <w:lang w:val="nb-NO"/>
        </w:rPr>
      </w:pPr>
      <w:r w:rsidRPr="00AF291C">
        <w:rPr>
          <w:lang w:val="nb-NO"/>
        </w:rPr>
        <w:br/>
      </w:r>
      <w:r w:rsidRPr="00AF291C">
        <w:rPr>
          <w:i/>
          <w:iCs/>
          <w:lang w:val="nb-NO"/>
        </w:rPr>
        <w:t>Søknadsfrist er 1. mars. </w:t>
      </w:r>
    </w:p>
    <w:p w:rsidR="00AF291C" w:rsidRPr="00AF291C" w:rsidRDefault="00AF291C" w:rsidP="00AF291C">
      <w:pPr>
        <w:rPr>
          <w:lang w:val="nb-NO"/>
        </w:rPr>
      </w:pPr>
      <w:r w:rsidRPr="00AF291C">
        <w:rPr>
          <w:b/>
          <w:bCs/>
          <w:lang w:val="nb-NO"/>
        </w:rPr>
        <w:t>Redusert foreldrebetaling i SFO</w:t>
      </w:r>
    </w:p>
    <w:p w:rsidR="00AF291C" w:rsidRPr="00AF291C" w:rsidRDefault="00AF291C" w:rsidP="00AF291C">
      <w:pPr>
        <w:rPr>
          <w:lang w:val="nb-NO"/>
        </w:rPr>
      </w:pPr>
      <w:r w:rsidRPr="00AF291C">
        <w:rPr>
          <w:lang w:val="nb-NO"/>
        </w:rPr>
        <w:t>Foreldre til barn i</w:t>
      </w:r>
      <w:r w:rsidRPr="00AF291C">
        <w:rPr>
          <w:b/>
          <w:bCs/>
          <w:lang w:val="nb-NO"/>
        </w:rPr>
        <w:t> 1.- 4. klasse</w:t>
      </w:r>
      <w:r w:rsidRPr="00AF291C">
        <w:rPr>
          <w:lang w:val="nb-NO"/>
        </w:rPr>
        <w:t> med samla inntekt under kr. 612 333,- har rett til å søka om redusert foreldrebetaling. </w:t>
      </w:r>
      <w:r w:rsidRPr="00AF291C">
        <w:rPr>
          <w:lang w:val="nb-NO"/>
        </w:rPr>
        <w:br/>
        <w:t>Foreldrebetaling skal </w:t>
      </w:r>
      <w:proofErr w:type="spellStart"/>
      <w:r w:rsidRPr="00AF291C">
        <w:rPr>
          <w:lang w:val="nb-NO"/>
        </w:rPr>
        <w:t>utgjera</w:t>
      </w:r>
      <w:proofErr w:type="spellEnd"/>
      <w:r w:rsidRPr="00AF291C">
        <w:rPr>
          <w:lang w:val="nb-NO"/>
        </w:rPr>
        <w:t xml:space="preserve"> maks 6% av husstanden si samla inntekt for </w:t>
      </w:r>
      <w:proofErr w:type="spellStart"/>
      <w:r w:rsidRPr="00AF291C">
        <w:rPr>
          <w:lang w:val="nb-NO"/>
        </w:rPr>
        <w:t>ein</w:t>
      </w:r>
      <w:proofErr w:type="spellEnd"/>
      <w:r w:rsidRPr="00AF291C">
        <w:rPr>
          <w:lang w:val="nb-NO"/>
        </w:rPr>
        <w:t xml:space="preserve"> fulltidsplass i SFO. </w:t>
      </w:r>
    </w:p>
    <w:p w:rsidR="00AF291C" w:rsidRPr="00AF291C" w:rsidRDefault="00AF291C" w:rsidP="00AF291C">
      <w:r w:rsidRPr="00AF291C">
        <w:t>Ein får ikkje automatisk lågare pris på SFO om ein har låg inntekt, foreldre må sjølv søka om å få redusert pris. Ein søker om redusert pris via Visma flyt skule under «søknader».  </w:t>
      </w:r>
    </w:p>
    <w:p w:rsidR="00AF291C" w:rsidRPr="00AF291C" w:rsidRDefault="00AF291C" w:rsidP="00AF291C">
      <w:r w:rsidRPr="00AF291C">
        <w:rPr>
          <w:b/>
          <w:bCs/>
        </w:rPr>
        <w:t>Vedtak om reduksjon gjeld for eitt skuleår om gongen.</w:t>
      </w:r>
    </w:p>
    <w:p w:rsidR="00AF291C" w:rsidRPr="00AF291C" w:rsidRDefault="00AF291C" w:rsidP="00AF291C">
      <w:r w:rsidRPr="00AF291C">
        <w:t xml:space="preserve">For søknader før 1. august gjeld kommunen sitt vedtak frå 1. august og ut skuleåret. Blir det søkt etter 1. august, gjeld vedtaket frå første heile månad etter </w:t>
      </w:r>
      <w:proofErr w:type="spellStart"/>
      <w:r w:rsidRPr="00AF291C">
        <w:t>søknadsstidspunktet</w:t>
      </w:r>
      <w:proofErr w:type="spellEnd"/>
      <w:r w:rsidRPr="00AF291C">
        <w:t>, og ut skuleåret. </w:t>
      </w:r>
    </w:p>
    <w:p w:rsidR="00693B1B" w:rsidRPr="00AF291C" w:rsidRDefault="00AF291C">
      <w:pPr>
        <w:rPr>
          <w:lang w:val="nb-NO"/>
        </w:rPr>
      </w:pPr>
      <w:r w:rsidRPr="00AF291C">
        <w:rPr>
          <w:lang w:val="nb-NO"/>
        </w:rPr>
        <w:t xml:space="preserve">Time kommune har </w:t>
      </w:r>
      <w:proofErr w:type="spellStart"/>
      <w:r w:rsidRPr="00AF291C">
        <w:rPr>
          <w:lang w:val="nb-NO"/>
        </w:rPr>
        <w:t>ikkje</w:t>
      </w:r>
      <w:proofErr w:type="spellEnd"/>
      <w:r w:rsidRPr="00AF291C">
        <w:rPr>
          <w:lang w:val="nb-NO"/>
        </w:rPr>
        <w:t xml:space="preserve"> ordning for søskenmoderasjon i SFO.</w:t>
      </w:r>
      <w:bookmarkStart w:id="0" w:name="_GoBack"/>
      <w:bookmarkEnd w:id="0"/>
    </w:p>
    <w:sectPr w:rsidR="00693B1B" w:rsidRPr="00AF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C"/>
    <w:rsid w:val="00693B1B"/>
    <w:rsid w:val="00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183"/>
  <w15:chartTrackingRefBased/>
  <w15:docId w15:val="{C9D9811F-97D0-4E91-850F-1833707C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5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Kaltveit Sinnes</dc:creator>
  <cp:keywords/>
  <dc:description/>
  <cp:lastModifiedBy>Ida Kaltveit Sinnes</cp:lastModifiedBy>
  <cp:revision>1</cp:revision>
  <dcterms:created xsi:type="dcterms:W3CDTF">2024-02-01T07:30:00Z</dcterms:created>
  <dcterms:modified xsi:type="dcterms:W3CDTF">2024-02-01T07:31:00Z</dcterms:modified>
</cp:coreProperties>
</file>